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20" w:firstRow="1" w:lastRow="0" w:firstColumn="0" w:lastColumn="0" w:noHBand="1" w:noVBand="1"/>
      </w:tblPr>
      <w:tblGrid>
        <w:gridCol w:w="4458"/>
        <w:gridCol w:w="2287"/>
        <w:gridCol w:w="2873"/>
      </w:tblGrid>
      <w:tr w:rsidR="002F4B3B" w:rsidRPr="002F4B3B" w14:paraId="0199330F" w14:textId="77777777" w:rsidTr="002F4B3B">
        <w:tc>
          <w:tcPr>
            <w:tcW w:w="2462" w:type="pct"/>
            <w:shd w:val="clear" w:color="auto" w:fill="C5E0B3" w:themeFill="accent6" w:themeFillTint="66"/>
            <w:tcMar>
              <w:top w:w="100" w:type="dxa"/>
              <w:left w:w="100" w:type="dxa"/>
              <w:bottom w:w="100" w:type="dxa"/>
              <w:right w:w="100" w:type="dxa"/>
            </w:tcMar>
          </w:tcPr>
          <w:p w14:paraId="5569546D" w14:textId="5CF9DA6E" w:rsidR="002F4B3B" w:rsidRPr="002F4B3B" w:rsidRDefault="002F4B3B" w:rsidP="00BB6388">
            <w:pPr>
              <w:rPr>
                <w:rFonts w:asciiTheme="minorHAnsi" w:eastAsia="Calibri" w:hAnsiTheme="minorHAnsi" w:cstheme="minorHAnsi"/>
                <w:b/>
                <w:sz w:val="24"/>
                <w:szCs w:val="24"/>
              </w:rPr>
            </w:pPr>
            <w:r w:rsidRPr="002F4B3B">
              <w:rPr>
                <w:rFonts w:asciiTheme="minorHAnsi" w:eastAsia="Calibri" w:hAnsiTheme="minorHAnsi" w:cstheme="minorHAnsi"/>
                <w:b/>
                <w:sz w:val="24"/>
                <w:szCs w:val="24"/>
              </w:rPr>
              <w:t>Oppimistehtäväohje</w:t>
            </w:r>
            <w:r w:rsidRPr="002F4B3B">
              <w:rPr>
                <w:rFonts w:asciiTheme="minorHAnsi" w:eastAsia="Calibri" w:hAnsiTheme="minorHAnsi" w:cstheme="minorHAnsi"/>
                <w:b/>
                <w:sz w:val="24"/>
                <w:szCs w:val="24"/>
              </w:rPr>
              <w:t xml:space="preserve"> päihteisiin liittyen</w:t>
            </w:r>
          </w:p>
        </w:tc>
        <w:tc>
          <w:tcPr>
            <w:tcW w:w="900" w:type="pct"/>
            <w:shd w:val="clear" w:color="auto" w:fill="C5E0B3" w:themeFill="accent6" w:themeFillTint="66"/>
            <w:tcMar>
              <w:top w:w="100" w:type="dxa"/>
              <w:left w:w="100" w:type="dxa"/>
              <w:bottom w:w="100" w:type="dxa"/>
              <w:right w:w="100" w:type="dxa"/>
            </w:tcMar>
          </w:tcPr>
          <w:p w14:paraId="44D8AFD7" w14:textId="77777777" w:rsidR="002F4B3B" w:rsidRPr="002F4B3B" w:rsidRDefault="002F4B3B" w:rsidP="00BB6388">
            <w:pPr>
              <w:widowControl w:val="0"/>
              <w:spacing w:line="240" w:lineRule="auto"/>
              <w:rPr>
                <w:rFonts w:asciiTheme="minorHAnsi" w:eastAsia="Calibri" w:hAnsiTheme="minorHAnsi" w:cstheme="minorHAnsi"/>
                <w:b/>
                <w:sz w:val="24"/>
                <w:szCs w:val="24"/>
              </w:rPr>
            </w:pPr>
            <w:r w:rsidRPr="002F4B3B">
              <w:rPr>
                <w:rFonts w:asciiTheme="minorHAnsi" w:eastAsia="Calibri" w:hAnsiTheme="minorHAnsi" w:cstheme="minorHAnsi"/>
                <w:b/>
                <w:sz w:val="24"/>
                <w:szCs w:val="24"/>
              </w:rPr>
              <w:t xml:space="preserve">Tarvittavat </w:t>
            </w:r>
          </w:p>
          <w:p w14:paraId="47DEA791" w14:textId="77777777" w:rsidR="002F4B3B" w:rsidRPr="002F4B3B" w:rsidRDefault="002F4B3B" w:rsidP="00BB6388">
            <w:pPr>
              <w:widowControl w:val="0"/>
              <w:spacing w:line="240" w:lineRule="auto"/>
              <w:rPr>
                <w:rFonts w:asciiTheme="minorHAnsi" w:eastAsia="Calibri" w:hAnsiTheme="minorHAnsi" w:cstheme="minorHAnsi"/>
                <w:b/>
                <w:sz w:val="24"/>
                <w:szCs w:val="24"/>
              </w:rPr>
            </w:pPr>
            <w:r w:rsidRPr="002F4B3B">
              <w:rPr>
                <w:rFonts w:asciiTheme="minorHAnsi" w:eastAsia="Calibri" w:hAnsiTheme="minorHAnsi" w:cstheme="minorHAnsi"/>
                <w:b/>
                <w:sz w:val="24"/>
                <w:szCs w:val="24"/>
              </w:rPr>
              <w:t>välineet</w:t>
            </w:r>
          </w:p>
        </w:tc>
        <w:tc>
          <w:tcPr>
            <w:tcW w:w="1638" w:type="pct"/>
            <w:shd w:val="clear" w:color="auto" w:fill="C5E0B3" w:themeFill="accent6" w:themeFillTint="66"/>
            <w:tcMar>
              <w:top w:w="100" w:type="dxa"/>
              <w:left w:w="100" w:type="dxa"/>
              <w:bottom w:w="100" w:type="dxa"/>
              <w:right w:w="100" w:type="dxa"/>
            </w:tcMar>
          </w:tcPr>
          <w:p w14:paraId="43CF450F" w14:textId="77777777" w:rsidR="002F4B3B" w:rsidRPr="002F4B3B" w:rsidRDefault="002F4B3B" w:rsidP="00BB6388">
            <w:pPr>
              <w:widowControl w:val="0"/>
              <w:spacing w:line="240" w:lineRule="auto"/>
              <w:rPr>
                <w:rFonts w:asciiTheme="minorHAnsi" w:eastAsia="Calibri" w:hAnsiTheme="minorHAnsi" w:cstheme="minorHAnsi"/>
                <w:b/>
                <w:sz w:val="24"/>
                <w:szCs w:val="24"/>
              </w:rPr>
            </w:pPr>
            <w:r w:rsidRPr="002F4B3B">
              <w:rPr>
                <w:rFonts w:asciiTheme="minorHAnsi" w:eastAsia="Calibri" w:hAnsiTheme="minorHAnsi" w:cstheme="minorHAnsi"/>
                <w:b/>
                <w:sz w:val="24"/>
                <w:szCs w:val="24"/>
              </w:rPr>
              <w:t>Arviointikohteita</w:t>
            </w:r>
          </w:p>
        </w:tc>
      </w:tr>
      <w:tr w:rsidR="002F4B3B" w:rsidRPr="002F4B3B" w14:paraId="7873A195" w14:textId="77777777" w:rsidTr="002F4B3B">
        <w:tc>
          <w:tcPr>
            <w:tcW w:w="2462" w:type="pct"/>
            <w:shd w:val="clear" w:color="auto" w:fill="auto"/>
            <w:tcMar>
              <w:top w:w="100" w:type="dxa"/>
              <w:left w:w="100" w:type="dxa"/>
              <w:bottom w:w="100" w:type="dxa"/>
              <w:right w:w="100" w:type="dxa"/>
            </w:tcMar>
          </w:tcPr>
          <w:p w14:paraId="6D487B6C" w14:textId="77777777" w:rsidR="002F4B3B" w:rsidRPr="002F4B3B" w:rsidRDefault="002F4B3B" w:rsidP="00BB6388">
            <w:pPr>
              <w:widowControl w:val="0"/>
              <w:spacing w:line="240" w:lineRule="auto"/>
              <w:rPr>
                <w:rFonts w:asciiTheme="minorHAnsi" w:eastAsia="Calibri" w:hAnsiTheme="minorHAnsi" w:cstheme="minorHAnsi"/>
                <w:b/>
                <w:sz w:val="16"/>
                <w:szCs w:val="16"/>
              </w:rPr>
            </w:pPr>
            <w:r w:rsidRPr="002F4B3B">
              <w:rPr>
                <w:rFonts w:asciiTheme="minorHAnsi" w:eastAsia="Calibri" w:hAnsiTheme="minorHAnsi" w:cstheme="minorHAnsi"/>
                <w:b/>
                <w:sz w:val="16"/>
                <w:szCs w:val="16"/>
              </w:rPr>
              <w:t>1. Orientaatio</w:t>
            </w:r>
          </w:p>
          <w:p w14:paraId="10B3C830" w14:textId="77777777" w:rsidR="002F4B3B" w:rsidRPr="002F4B3B" w:rsidRDefault="002F4B3B" w:rsidP="00BB6388">
            <w:pPr>
              <w:widowControl w:val="0"/>
              <w:spacing w:line="240" w:lineRule="auto"/>
              <w:rPr>
                <w:rFonts w:asciiTheme="minorHAnsi" w:eastAsia="Calibri" w:hAnsiTheme="minorHAnsi" w:cstheme="minorHAnsi"/>
                <w:b/>
                <w:sz w:val="16"/>
                <w:szCs w:val="16"/>
              </w:rPr>
            </w:pPr>
          </w:p>
          <w:p w14:paraId="034CDBA8" w14:textId="77777777" w:rsidR="002F4B3B" w:rsidRPr="002F4B3B" w:rsidRDefault="002F4B3B" w:rsidP="00BB6388">
            <w:pPr>
              <w:widowControl w:val="0"/>
              <w:spacing w:line="240" w:lineRule="auto"/>
              <w:rPr>
                <w:rFonts w:asciiTheme="minorHAnsi" w:eastAsia="Calibri" w:hAnsiTheme="minorHAnsi" w:cstheme="minorHAnsi"/>
                <w:i/>
                <w:iCs/>
                <w:sz w:val="16"/>
                <w:szCs w:val="16"/>
              </w:rPr>
            </w:pPr>
            <w:r w:rsidRPr="002F4B3B">
              <w:rPr>
                <w:rFonts w:asciiTheme="minorHAnsi" w:eastAsia="Calibri" w:hAnsiTheme="minorHAnsi" w:cstheme="minorHAnsi"/>
                <w:sz w:val="16"/>
                <w:szCs w:val="16"/>
              </w:rPr>
              <w:t xml:space="preserve">Ennen aiheen varsinaista käsittelyä oppilaiden ennakkotietoja voidaan kartoittaa esimerkiksi käsitekartalla, ajatuskartalla tai kyselyllä (esimerkiksi liukumat: </w:t>
            </w:r>
            <w:r w:rsidRPr="002F4B3B">
              <w:rPr>
                <w:rFonts w:asciiTheme="minorHAnsi" w:eastAsia="Calibri" w:hAnsiTheme="minorHAnsi" w:cstheme="minorHAnsi"/>
                <w:i/>
                <w:iCs/>
                <w:sz w:val="16"/>
                <w:szCs w:val="16"/>
              </w:rPr>
              <w:t xml:space="preserve">Osaan nimetä päihteitä: </w:t>
            </w:r>
          </w:p>
          <w:p w14:paraId="5C13924F" w14:textId="1F43B393"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i/>
                <w:iCs/>
                <w:sz w:val="16"/>
                <w:szCs w:val="16"/>
              </w:rPr>
              <w:t>en osaa - - - osaan</w:t>
            </w:r>
            <w:r w:rsidRPr="002F4B3B">
              <w:rPr>
                <w:rFonts w:asciiTheme="minorHAnsi" w:eastAsia="Calibri" w:hAnsiTheme="minorHAnsi" w:cstheme="minorHAnsi"/>
                <w:sz w:val="16"/>
                <w:szCs w:val="16"/>
              </w:rPr>
              <w:t xml:space="preserve"> jne.) sekä asettaa omalle oppimiselle tavoitteita. Tehtävä voidaan toistaa opetusjakson lopussa ja verrata osaamisen karttumista. </w:t>
            </w:r>
          </w:p>
          <w:p w14:paraId="75E0B55D" w14:textId="77777777" w:rsidR="002F4B3B" w:rsidRPr="002F4B3B" w:rsidRDefault="002F4B3B" w:rsidP="00BB6388">
            <w:pPr>
              <w:widowControl w:val="0"/>
              <w:spacing w:line="240" w:lineRule="auto"/>
              <w:rPr>
                <w:rFonts w:asciiTheme="minorHAnsi" w:eastAsia="Calibri" w:hAnsiTheme="minorHAnsi" w:cstheme="minorHAnsi"/>
                <w:sz w:val="16"/>
                <w:szCs w:val="16"/>
              </w:rPr>
            </w:pPr>
          </w:p>
          <w:p w14:paraId="489ABABA"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Orientaatiossa perehdytään, mitä tarkoitetaan päihteillä ja riippuvuudella, sekä selvitetään, mistä saa luotettavaa tietoa päihteisiin ja riippuvuuksiin liittyen.</w:t>
            </w:r>
          </w:p>
        </w:tc>
        <w:tc>
          <w:tcPr>
            <w:tcW w:w="900" w:type="pct"/>
            <w:shd w:val="clear" w:color="auto" w:fill="auto"/>
            <w:tcMar>
              <w:top w:w="100" w:type="dxa"/>
              <w:left w:w="100" w:type="dxa"/>
              <w:bottom w:w="100" w:type="dxa"/>
              <w:right w:w="100" w:type="dxa"/>
            </w:tcMar>
          </w:tcPr>
          <w:p w14:paraId="72FA5AD7"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 xml:space="preserve">Oppikirja, mobiililaite, internet-sivut (esimerkiksi </w:t>
            </w:r>
            <w:hyperlink r:id="rId4" w:history="1">
              <w:r w:rsidRPr="002F4B3B">
                <w:rPr>
                  <w:rStyle w:val="Hyperlinkki"/>
                  <w:rFonts w:asciiTheme="minorHAnsi" w:eastAsia="Calibri" w:hAnsiTheme="minorHAnsi" w:cstheme="minorHAnsi"/>
                  <w:sz w:val="16"/>
                  <w:szCs w:val="16"/>
                </w:rPr>
                <w:t>https://www.oph.fi/fi/koulutus-ja-tutkinnot/paihteet-tupakkatuotteet-ja-rahapelaaminen-terveystiedon-opetuksessa</w:t>
              </w:r>
            </w:hyperlink>
            <w:r w:rsidRPr="002F4B3B">
              <w:rPr>
                <w:rFonts w:asciiTheme="minorHAnsi" w:eastAsia="Calibri" w:hAnsiTheme="minorHAnsi" w:cstheme="minorHAnsi"/>
                <w:sz w:val="16"/>
                <w:szCs w:val="16"/>
              </w:rPr>
              <w:t>)</w:t>
            </w:r>
          </w:p>
        </w:tc>
        <w:tc>
          <w:tcPr>
            <w:tcW w:w="1638" w:type="pct"/>
            <w:shd w:val="clear" w:color="auto" w:fill="auto"/>
            <w:tcMar>
              <w:top w:w="100" w:type="dxa"/>
              <w:left w:w="100" w:type="dxa"/>
              <w:bottom w:w="100" w:type="dxa"/>
              <w:right w:w="100" w:type="dxa"/>
            </w:tcMar>
          </w:tcPr>
          <w:p w14:paraId="097BF22E"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T2 Tavoitteellinen työskentely ja oppimaan oppiminen</w:t>
            </w:r>
          </w:p>
          <w:p w14:paraId="73067CCA"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T7 Teknologinen osaaminen ja yhteistyö teknologisessa ongelmanratkaisussa</w:t>
            </w:r>
          </w:p>
          <w:p w14:paraId="5AEE466B"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T11 Tieto- ja viestintäteknologian käyttäminen</w:t>
            </w:r>
          </w:p>
          <w:p w14:paraId="02106C96"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T12 Käsitteiden käyttö</w:t>
            </w:r>
          </w:p>
          <w:p w14:paraId="4B2277AE"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T14 Näkemyksien ilmaiseminen ja</w:t>
            </w:r>
          </w:p>
          <w:p w14:paraId="0456291B"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kriittinen lukutaito</w:t>
            </w:r>
          </w:p>
        </w:tc>
      </w:tr>
      <w:tr w:rsidR="002F4B3B" w:rsidRPr="002F4B3B" w14:paraId="4C6F966E" w14:textId="77777777" w:rsidTr="002F4B3B">
        <w:tc>
          <w:tcPr>
            <w:tcW w:w="2462" w:type="pct"/>
            <w:shd w:val="clear" w:color="auto" w:fill="E2EFD9" w:themeFill="accent6" w:themeFillTint="33"/>
            <w:tcMar>
              <w:top w:w="100" w:type="dxa"/>
              <w:left w:w="100" w:type="dxa"/>
              <w:bottom w:w="100" w:type="dxa"/>
              <w:right w:w="100" w:type="dxa"/>
            </w:tcMar>
          </w:tcPr>
          <w:p w14:paraId="070ADADA" w14:textId="77777777" w:rsidR="002F4B3B" w:rsidRPr="002F4B3B" w:rsidRDefault="002F4B3B" w:rsidP="00BB6388">
            <w:pPr>
              <w:rPr>
                <w:rFonts w:asciiTheme="minorHAnsi" w:eastAsia="Calibri" w:hAnsiTheme="minorHAnsi" w:cstheme="minorHAnsi"/>
                <w:b/>
                <w:sz w:val="16"/>
                <w:szCs w:val="16"/>
              </w:rPr>
            </w:pPr>
            <w:r w:rsidRPr="002F4B3B">
              <w:rPr>
                <w:rFonts w:asciiTheme="minorHAnsi" w:eastAsia="Calibri" w:hAnsiTheme="minorHAnsi" w:cstheme="minorHAnsi"/>
                <w:b/>
                <w:sz w:val="16"/>
                <w:szCs w:val="16"/>
              </w:rPr>
              <w:t>2. Tutkiminen ja pohdinta</w:t>
            </w:r>
          </w:p>
          <w:p w14:paraId="467A8B47" w14:textId="77777777" w:rsidR="002F4B3B" w:rsidRPr="002F4B3B" w:rsidRDefault="002F4B3B" w:rsidP="00BB6388">
            <w:pPr>
              <w:rPr>
                <w:rFonts w:asciiTheme="minorHAnsi" w:eastAsia="Calibri" w:hAnsiTheme="minorHAnsi" w:cstheme="minorHAnsi"/>
                <w:sz w:val="16"/>
                <w:szCs w:val="16"/>
              </w:rPr>
            </w:pPr>
          </w:p>
          <w:p w14:paraId="663DF177" w14:textId="77777777" w:rsidR="002F4B3B" w:rsidRPr="002F4B3B" w:rsidRDefault="002F4B3B" w:rsidP="00BB6388">
            <w:pPr>
              <w:rPr>
                <w:rFonts w:asciiTheme="minorHAnsi" w:eastAsia="Calibri" w:hAnsiTheme="minorHAnsi" w:cstheme="minorHAnsi"/>
                <w:sz w:val="16"/>
                <w:szCs w:val="16"/>
              </w:rPr>
            </w:pPr>
            <w:r w:rsidRPr="002F4B3B">
              <w:rPr>
                <w:rFonts w:asciiTheme="minorHAnsi" w:eastAsia="Calibri" w:hAnsiTheme="minorHAnsi" w:cstheme="minorHAnsi"/>
                <w:sz w:val="16"/>
                <w:szCs w:val="16"/>
              </w:rPr>
              <w:t xml:space="preserve">Tässä vaiheessa otetaan selvää, mitä päihteitä voi olla ja miksi ja miten niihin voi tulla riippuvaiseksi. Opetuksessa pohditaan yksin tai yhdessä, mitä haittaa (fyysisiä, psyykkisiä, sosiaalisia, taloudellisia jne.) päihteistä on itselle tai läheisille. </w:t>
            </w:r>
          </w:p>
        </w:tc>
        <w:tc>
          <w:tcPr>
            <w:tcW w:w="900" w:type="pct"/>
            <w:shd w:val="clear" w:color="auto" w:fill="E2EFD9" w:themeFill="accent6" w:themeFillTint="33"/>
            <w:tcMar>
              <w:top w:w="100" w:type="dxa"/>
              <w:left w:w="100" w:type="dxa"/>
              <w:bottom w:w="100" w:type="dxa"/>
              <w:right w:w="100" w:type="dxa"/>
            </w:tcMar>
          </w:tcPr>
          <w:p w14:paraId="716557CA"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Oppikirja, mobiililaite, internet-sivut, mahdollinen vihkotyöskentely</w:t>
            </w:r>
          </w:p>
        </w:tc>
        <w:tc>
          <w:tcPr>
            <w:tcW w:w="1638" w:type="pct"/>
            <w:shd w:val="clear" w:color="auto" w:fill="E2EFD9" w:themeFill="accent6" w:themeFillTint="33"/>
            <w:tcMar>
              <w:top w:w="100" w:type="dxa"/>
              <w:left w:w="100" w:type="dxa"/>
              <w:bottom w:w="100" w:type="dxa"/>
              <w:right w:w="100" w:type="dxa"/>
            </w:tcMar>
          </w:tcPr>
          <w:p w14:paraId="57E5E05C"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T2 Tavoitteellinen työskentely ja oppimaan oppiminen</w:t>
            </w:r>
          </w:p>
          <w:p w14:paraId="28DD0C8E"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T7 Teknologinen osaaminen ja yhteistyö teknologisessa ongelmanratkaisussa</w:t>
            </w:r>
          </w:p>
          <w:p w14:paraId="433762FA"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T11 Tieto- ja viestintäteknologian käyttäminen</w:t>
            </w:r>
          </w:p>
          <w:p w14:paraId="3EDCDDEC"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T12 Käsitteiden käyttö</w:t>
            </w:r>
          </w:p>
          <w:p w14:paraId="3A3A7D0D"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T14 Näkemyksien ilmaiseminen ja</w:t>
            </w:r>
          </w:p>
          <w:p w14:paraId="70DC3F26"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kriittinen lukutaito</w:t>
            </w:r>
          </w:p>
        </w:tc>
      </w:tr>
      <w:tr w:rsidR="002F4B3B" w:rsidRPr="002F4B3B" w14:paraId="01DD7D10" w14:textId="77777777" w:rsidTr="002F4B3B">
        <w:tc>
          <w:tcPr>
            <w:tcW w:w="2462" w:type="pct"/>
            <w:shd w:val="clear" w:color="auto" w:fill="auto"/>
            <w:tcMar>
              <w:top w:w="100" w:type="dxa"/>
              <w:left w:w="100" w:type="dxa"/>
              <w:bottom w:w="100" w:type="dxa"/>
              <w:right w:w="100" w:type="dxa"/>
            </w:tcMar>
          </w:tcPr>
          <w:p w14:paraId="6FEADD17" w14:textId="77777777" w:rsidR="002F4B3B" w:rsidRPr="002F4B3B" w:rsidRDefault="002F4B3B" w:rsidP="00BB6388">
            <w:pPr>
              <w:widowControl w:val="0"/>
              <w:spacing w:line="240" w:lineRule="auto"/>
              <w:rPr>
                <w:rFonts w:asciiTheme="minorHAnsi" w:eastAsia="Calibri" w:hAnsiTheme="minorHAnsi" w:cstheme="minorHAnsi"/>
                <w:b/>
                <w:sz w:val="16"/>
                <w:szCs w:val="16"/>
              </w:rPr>
            </w:pPr>
            <w:r w:rsidRPr="002F4B3B">
              <w:rPr>
                <w:rFonts w:asciiTheme="minorHAnsi" w:eastAsia="Calibri" w:hAnsiTheme="minorHAnsi" w:cstheme="minorHAnsi"/>
                <w:b/>
                <w:sz w:val="16"/>
                <w:szCs w:val="16"/>
              </w:rPr>
              <w:t xml:space="preserve">3. Keskustelu tai harjoittelu </w:t>
            </w:r>
          </w:p>
          <w:p w14:paraId="2030A11C" w14:textId="77777777" w:rsidR="002F4B3B" w:rsidRPr="002F4B3B" w:rsidRDefault="002F4B3B" w:rsidP="00BB6388">
            <w:pPr>
              <w:widowControl w:val="0"/>
              <w:spacing w:line="240" w:lineRule="auto"/>
              <w:rPr>
                <w:rFonts w:asciiTheme="minorHAnsi" w:eastAsia="Calibri" w:hAnsiTheme="minorHAnsi" w:cstheme="minorHAnsi"/>
                <w:sz w:val="16"/>
                <w:szCs w:val="16"/>
              </w:rPr>
            </w:pPr>
          </w:p>
          <w:p w14:paraId="04A17C6D"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 xml:space="preserve">Tässä vaiheessa keskustellaan tai harjoitellaan draamallisesti, miten päihteistä voi kieltäytyä. Draama voidaan toteuttaa valmiin käsikirjoituksen mukaisesti, tai oppilaat voivat sen itse käsikirjoittaa. Tarvittaessa etsitään aiheesta lisätietoa. </w:t>
            </w:r>
          </w:p>
        </w:tc>
        <w:tc>
          <w:tcPr>
            <w:tcW w:w="900" w:type="pct"/>
            <w:shd w:val="clear" w:color="auto" w:fill="auto"/>
            <w:tcMar>
              <w:top w:w="100" w:type="dxa"/>
              <w:left w:w="100" w:type="dxa"/>
              <w:bottom w:w="100" w:type="dxa"/>
              <w:right w:w="100" w:type="dxa"/>
            </w:tcMar>
          </w:tcPr>
          <w:p w14:paraId="422F1F7D"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Ei välttämättä tarvita välineitä.</w:t>
            </w:r>
          </w:p>
        </w:tc>
        <w:tc>
          <w:tcPr>
            <w:tcW w:w="1638" w:type="pct"/>
            <w:shd w:val="clear" w:color="auto" w:fill="auto"/>
            <w:tcMar>
              <w:top w:w="100" w:type="dxa"/>
              <w:left w:w="100" w:type="dxa"/>
              <w:bottom w:w="100" w:type="dxa"/>
              <w:right w:w="100" w:type="dxa"/>
            </w:tcMar>
          </w:tcPr>
          <w:p w14:paraId="24D7D99A"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T2 Tavoitteellinen työskentely ja oppimaan oppiminen</w:t>
            </w:r>
          </w:p>
          <w:p w14:paraId="07C39E99"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T12 Käsitteiden käyttö</w:t>
            </w:r>
          </w:p>
          <w:p w14:paraId="76A80927"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T14 Näkemyksien ilmaiseminen ja</w:t>
            </w:r>
          </w:p>
          <w:p w14:paraId="27741880"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kriittinen lukutaito</w:t>
            </w:r>
          </w:p>
          <w:p w14:paraId="2BDCBFBE" w14:textId="77777777" w:rsidR="002F4B3B" w:rsidRPr="002F4B3B" w:rsidRDefault="002F4B3B" w:rsidP="00BB6388">
            <w:pPr>
              <w:widowControl w:val="0"/>
              <w:spacing w:line="240" w:lineRule="auto"/>
              <w:rPr>
                <w:rFonts w:asciiTheme="minorHAnsi" w:eastAsia="Calibri" w:hAnsiTheme="minorHAnsi" w:cstheme="minorHAnsi"/>
                <w:sz w:val="10"/>
                <w:szCs w:val="10"/>
              </w:rPr>
            </w:pPr>
            <w:r w:rsidRPr="002F4B3B">
              <w:rPr>
                <w:rFonts w:asciiTheme="minorHAnsi" w:eastAsia="Calibri" w:hAnsiTheme="minorHAnsi" w:cstheme="minorHAnsi"/>
                <w:sz w:val="16"/>
                <w:szCs w:val="16"/>
              </w:rPr>
              <w:t>T19 Terveystiedon tiedonala</w:t>
            </w:r>
          </w:p>
          <w:p w14:paraId="4EB49C50" w14:textId="77777777" w:rsidR="002F4B3B" w:rsidRPr="002F4B3B" w:rsidRDefault="002F4B3B" w:rsidP="00BB6388">
            <w:pPr>
              <w:widowControl w:val="0"/>
              <w:spacing w:line="240" w:lineRule="auto"/>
              <w:rPr>
                <w:rFonts w:asciiTheme="minorHAnsi" w:eastAsia="Calibri" w:hAnsiTheme="minorHAnsi" w:cstheme="minorHAnsi"/>
                <w:sz w:val="16"/>
                <w:szCs w:val="16"/>
              </w:rPr>
            </w:pPr>
          </w:p>
        </w:tc>
      </w:tr>
      <w:tr w:rsidR="002F4B3B" w:rsidRPr="002F4B3B" w14:paraId="126FD253" w14:textId="77777777" w:rsidTr="002F4B3B">
        <w:tc>
          <w:tcPr>
            <w:tcW w:w="2462" w:type="pct"/>
            <w:shd w:val="clear" w:color="auto" w:fill="E2EFD9" w:themeFill="accent6" w:themeFillTint="33"/>
            <w:tcMar>
              <w:top w:w="100" w:type="dxa"/>
              <w:left w:w="100" w:type="dxa"/>
              <w:bottom w:w="100" w:type="dxa"/>
              <w:right w:w="100" w:type="dxa"/>
            </w:tcMar>
          </w:tcPr>
          <w:p w14:paraId="291373AE" w14:textId="77777777" w:rsidR="002F4B3B" w:rsidRPr="002F4B3B" w:rsidRDefault="002F4B3B" w:rsidP="00BB6388">
            <w:pPr>
              <w:widowControl w:val="0"/>
              <w:spacing w:line="240" w:lineRule="auto"/>
              <w:rPr>
                <w:rFonts w:asciiTheme="minorHAnsi" w:eastAsia="Calibri" w:hAnsiTheme="minorHAnsi" w:cstheme="minorHAnsi"/>
                <w:b/>
                <w:sz w:val="16"/>
                <w:szCs w:val="16"/>
              </w:rPr>
            </w:pPr>
            <w:r w:rsidRPr="002F4B3B">
              <w:rPr>
                <w:rFonts w:asciiTheme="minorHAnsi" w:eastAsia="Calibri" w:hAnsiTheme="minorHAnsi" w:cstheme="minorHAnsi"/>
                <w:b/>
                <w:sz w:val="16"/>
                <w:szCs w:val="16"/>
              </w:rPr>
              <w:t xml:space="preserve">4. Tutkiminen ja pohdinta </w:t>
            </w:r>
          </w:p>
          <w:p w14:paraId="6A499BC6" w14:textId="77777777" w:rsidR="002F4B3B" w:rsidRPr="002F4B3B" w:rsidRDefault="002F4B3B" w:rsidP="00BB6388">
            <w:pPr>
              <w:widowControl w:val="0"/>
              <w:spacing w:line="240" w:lineRule="auto"/>
              <w:rPr>
                <w:rFonts w:asciiTheme="minorHAnsi" w:eastAsia="Calibri" w:hAnsiTheme="minorHAnsi" w:cstheme="minorHAnsi"/>
                <w:sz w:val="16"/>
                <w:szCs w:val="16"/>
              </w:rPr>
            </w:pPr>
          </w:p>
          <w:p w14:paraId="24E9E94D"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 xml:space="preserve">Tässä vaiheessa otetaan selvää, miten päihteistä pääsee eroon. Oppilaiden kanssa selvitetään, mistä voi löytää apua itselle tai läheiselle, sekä pohditaan, miten voisi auttaa riippuvaista ihmistä. </w:t>
            </w:r>
          </w:p>
        </w:tc>
        <w:tc>
          <w:tcPr>
            <w:tcW w:w="900" w:type="pct"/>
            <w:shd w:val="clear" w:color="auto" w:fill="E2EFD9" w:themeFill="accent6" w:themeFillTint="33"/>
            <w:tcMar>
              <w:top w:w="100" w:type="dxa"/>
              <w:left w:w="100" w:type="dxa"/>
              <w:bottom w:w="100" w:type="dxa"/>
              <w:right w:w="100" w:type="dxa"/>
            </w:tcMar>
          </w:tcPr>
          <w:p w14:paraId="3CA7F7CE" w14:textId="77777777" w:rsidR="002F4B3B" w:rsidRPr="002F4B3B" w:rsidRDefault="002F4B3B" w:rsidP="00BB6388">
            <w:pPr>
              <w:widowControl w:val="0"/>
              <w:spacing w:line="240" w:lineRule="auto"/>
              <w:rPr>
                <w:rFonts w:asciiTheme="minorHAnsi" w:eastAsia="Calibri" w:hAnsiTheme="minorHAnsi" w:cstheme="minorHAnsi"/>
                <w:b/>
                <w:sz w:val="16"/>
                <w:szCs w:val="16"/>
              </w:rPr>
            </w:pPr>
            <w:r w:rsidRPr="002F4B3B">
              <w:rPr>
                <w:rFonts w:asciiTheme="minorHAnsi" w:eastAsia="Calibri" w:hAnsiTheme="minorHAnsi" w:cstheme="minorHAnsi"/>
                <w:sz w:val="16"/>
                <w:szCs w:val="16"/>
              </w:rPr>
              <w:t>Oppikirja, mobiililaite, internet-sivut, mahdollinen vihkotyöskentely</w:t>
            </w:r>
          </w:p>
        </w:tc>
        <w:tc>
          <w:tcPr>
            <w:tcW w:w="1638" w:type="pct"/>
            <w:shd w:val="clear" w:color="auto" w:fill="E2EFD9" w:themeFill="accent6" w:themeFillTint="33"/>
            <w:tcMar>
              <w:top w:w="100" w:type="dxa"/>
              <w:left w:w="100" w:type="dxa"/>
              <w:bottom w:w="100" w:type="dxa"/>
              <w:right w:w="100" w:type="dxa"/>
            </w:tcMar>
          </w:tcPr>
          <w:p w14:paraId="12DA6298"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T2 Tavoitteellinen työskentely ja oppimaan oppiminen</w:t>
            </w:r>
          </w:p>
          <w:p w14:paraId="5F052301"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T5 Tutkimisen taidot: suunnittelu, havainnointi ja mittaukset</w:t>
            </w:r>
          </w:p>
          <w:p w14:paraId="631CC9A2"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T7 Teknologinen osaaminen ja yhteistyö teknologisessa ongelmanratkaisussa</w:t>
            </w:r>
          </w:p>
          <w:p w14:paraId="627037BF"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T11 Tieto- ja viestintäteknologian käyttäminen</w:t>
            </w:r>
          </w:p>
          <w:p w14:paraId="061789CF"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T12 Käsitteiden käyttö</w:t>
            </w:r>
          </w:p>
          <w:p w14:paraId="500E817F"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T14 Näkemyksien ilmaiseminen ja</w:t>
            </w:r>
          </w:p>
          <w:p w14:paraId="578AC0EC"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kriittinen lukutaito</w:t>
            </w:r>
          </w:p>
          <w:p w14:paraId="01180B22" w14:textId="77777777" w:rsidR="002F4B3B" w:rsidRPr="002F4B3B" w:rsidRDefault="002F4B3B" w:rsidP="00BB6388">
            <w:pPr>
              <w:widowControl w:val="0"/>
              <w:spacing w:line="240" w:lineRule="auto"/>
              <w:rPr>
                <w:rFonts w:asciiTheme="minorHAnsi" w:eastAsia="Calibri" w:hAnsiTheme="minorHAnsi" w:cstheme="minorHAnsi"/>
                <w:b/>
                <w:sz w:val="16"/>
                <w:szCs w:val="16"/>
              </w:rPr>
            </w:pPr>
          </w:p>
        </w:tc>
      </w:tr>
      <w:tr w:rsidR="002F4B3B" w:rsidRPr="002F4B3B" w14:paraId="1A0725D9" w14:textId="77777777" w:rsidTr="002F4B3B">
        <w:tc>
          <w:tcPr>
            <w:tcW w:w="2462" w:type="pct"/>
            <w:shd w:val="clear" w:color="auto" w:fill="auto"/>
            <w:tcMar>
              <w:top w:w="100" w:type="dxa"/>
              <w:left w:w="100" w:type="dxa"/>
              <w:bottom w:w="100" w:type="dxa"/>
              <w:right w:w="100" w:type="dxa"/>
            </w:tcMar>
          </w:tcPr>
          <w:p w14:paraId="66E46BC1"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b/>
                <w:sz w:val="16"/>
                <w:szCs w:val="16"/>
              </w:rPr>
              <w:t>5. Tutkiminen ja pohdinta</w:t>
            </w:r>
            <w:r w:rsidRPr="002F4B3B">
              <w:rPr>
                <w:rFonts w:asciiTheme="minorHAnsi" w:eastAsia="Calibri" w:hAnsiTheme="minorHAnsi" w:cstheme="minorHAnsi"/>
                <w:sz w:val="16"/>
                <w:szCs w:val="16"/>
              </w:rPr>
              <w:t xml:space="preserve"> </w:t>
            </w:r>
          </w:p>
          <w:p w14:paraId="6406B9E5" w14:textId="77777777" w:rsidR="002F4B3B" w:rsidRPr="002F4B3B" w:rsidRDefault="002F4B3B" w:rsidP="00BB6388">
            <w:pPr>
              <w:widowControl w:val="0"/>
              <w:spacing w:line="240" w:lineRule="auto"/>
              <w:rPr>
                <w:rFonts w:asciiTheme="minorHAnsi" w:eastAsia="Calibri" w:hAnsiTheme="minorHAnsi" w:cstheme="minorHAnsi"/>
                <w:sz w:val="16"/>
                <w:szCs w:val="16"/>
              </w:rPr>
            </w:pPr>
          </w:p>
          <w:p w14:paraId="71166233"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Oppilaiden kanssa voidaan etsiä tietoa vielä siitä, mitä muita riippuvuuksia voi olla ja miten niistä voi päästä eroon.</w:t>
            </w:r>
          </w:p>
        </w:tc>
        <w:tc>
          <w:tcPr>
            <w:tcW w:w="900" w:type="pct"/>
            <w:shd w:val="clear" w:color="auto" w:fill="auto"/>
            <w:tcMar>
              <w:top w:w="100" w:type="dxa"/>
              <w:left w:w="100" w:type="dxa"/>
              <w:bottom w:w="100" w:type="dxa"/>
              <w:right w:w="100" w:type="dxa"/>
            </w:tcMar>
          </w:tcPr>
          <w:p w14:paraId="02C240D5" w14:textId="77777777" w:rsidR="002F4B3B" w:rsidRPr="002F4B3B" w:rsidRDefault="002F4B3B" w:rsidP="00BB6388">
            <w:pPr>
              <w:widowControl w:val="0"/>
              <w:spacing w:line="240" w:lineRule="auto"/>
              <w:rPr>
                <w:rFonts w:asciiTheme="minorHAnsi" w:eastAsia="Calibri" w:hAnsiTheme="minorHAnsi" w:cstheme="minorHAnsi"/>
                <w:b/>
                <w:sz w:val="16"/>
                <w:szCs w:val="16"/>
              </w:rPr>
            </w:pPr>
            <w:r w:rsidRPr="002F4B3B">
              <w:rPr>
                <w:rFonts w:asciiTheme="minorHAnsi" w:eastAsia="Calibri" w:hAnsiTheme="minorHAnsi" w:cstheme="minorHAnsi"/>
                <w:sz w:val="16"/>
                <w:szCs w:val="16"/>
              </w:rPr>
              <w:t>Oppikirja, mobiililaite, internet-sivut, mahdollinen vihkotyöskentely</w:t>
            </w:r>
          </w:p>
        </w:tc>
        <w:tc>
          <w:tcPr>
            <w:tcW w:w="1638" w:type="pct"/>
            <w:shd w:val="clear" w:color="auto" w:fill="auto"/>
            <w:tcMar>
              <w:top w:w="100" w:type="dxa"/>
              <w:left w:w="100" w:type="dxa"/>
              <w:bottom w:w="100" w:type="dxa"/>
              <w:right w:w="100" w:type="dxa"/>
            </w:tcMar>
          </w:tcPr>
          <w:p w14:paraId="713DDA0E"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T2 Tavoitteellinen työskentely ja oppimaan oppiminen</w:t>
            </w:r>
          </w:p>
          <w:p w14:paraId="6CE35182"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T11 Tieto- ja viestintäteknologian käyttäminen</w:t>
            </w:r>
          </w:p>
          <w:p w14:paraId="67BAD3E5"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T12 Käsitteiden käyttö</w:t>
            </w:r>
          </w:p>
          <w:p w14:paraId="055FF926"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T14 Näkemyksien ilmaiseminen ja</w:t>
            </w:r>
          </w:p>
          <w:p w14:paraId="4DE5CB12" w14:textId="77777777" w:rsidR="002F4B3B" w:rsidRPr="002F4B3B" w:rsidRDefault="002F4B3B" w:rsidP="00BB6388">
            <w:pPr>
              <w:widowControl w:val="0"/>
              <w:spacing w:line="240" w:lineRule="auto"/>
              <w:rPr>
                <w:rFonts w:asciiTheme="minorHAnsi" w:eastAsia="Calibri" w:hAnsiTheme="minorHAnsi" w:cstheme="minorHAnsi"/>
                <w:sz w:val="16"/>
                <w:szCs w:val="16"/>
              </w:rPr>
            </w:pPr>
            <w:r w:rsidRPr="002F4B3B">
              <w:rPr>
                <w:rFonts w:asciiTheme="minorHAnsi" w:eastAsia="Calibri" w:hAnsiTheme="minorHAnsi" w:cstheme="minorHAnsi"/>
                <w:sz w:val="16"/>
                <w:szCs w:val="16"/>
              </w:rPr>
              <w:t>kriittinen lukutaito</w:t>
            </w:r>
          </w:p>
          <w:p w14:paraId="03AC4816" w14:textId="77777777" w:rsidR="002F4B3B" w:rsidRPr="002F4B3B" w:rsidRDefault="002F4B3B" w:rsidP="00BB6388">
            <w:pPr>
              <w:widowControl w:val="0"/>
              <w:spacing w:line="240" w:lineRule="auto"/>
              <w:rPr>
                <w:rFonts w:asciiTheme="minorHAnsi" w:eastAsia="Calibri" w:hAnsiTheme="minorHAnsi" w:cstheme="minorHAnsi"/>
                <w:sz w:val="16"/>
                <w:szCs w:val="16"/>
              </w:rPr>
            </w:pPr>
          </w:p>
          <w:p w14:paraId="03561F9B" w14:textId="77777777" w:rsidR="002F4B3B" w:rsidRPr="002F4B3B" w:rsidRDefault="002F4B3B" w:rsidP="00BB6388">
            <w:pPr>
              <w:widowControl w:val="0"/>
              <w:spacing w:line="240" w:lineRule="auto"/>
              <w:rPr>
                <w:rFonts w:asciiTheme="minorHAnsi" w:eastAsia="Calibri" w:hAnsiTheme="minorHAnsi" w:cstheme="minorHAnsi"/>
                <w:sz w:val="16"/>
                <w:szCs w:val="16"/>
              </w:rPr>
            </w:pPr>
          </w:p>
        </w:tc>
      </w:tr>
    </w:tbl>
    <w:p w14:paraId="662EC85C" w14:textId="77777777" w:rsidR="002F4B3B" w:rsidRDefault="002F4B3B"/>
    <w:sectPr w:rsidR="002F4B3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B3B"/>
    <w:rsid w:val="002F4B3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E68C6"/>
  <w15:chartTrackingRefBased/>
  <w15:docId w15:val="{C6B806E6-F118-475A-921D-B2E077C5D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F4B3B"/>
    <w:pPr>
      <w:spacing w:after="0" w:line="276" w:lineRule="auto"/>
    </w:pPr>
    <w:rPr>
      <w:rFonts w:ascii="Arial" w:eastAsia="Arial" w:hAnsi="Arial" w:cs="Arial"/>
      <w:lang w:val="fi"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2F4B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ph.fi/fi/koulutus-ja-tutkinnot/paihteet-tupakkatuotteet-ja-rahapelaaminen-terveystiedon-opetuksessa"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354</Words>
  <Characters>2876</Characters>
  <Application>Microsoft Office Word</Application>
  <DocSecurity>0</DocSecurity>
  <Lines>23</Lines>
  <Paragraphs>6</Paragraphs>
  <ScaleCrop>false</ScaleCrop>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Korhonen Anjuli (OPH)</dc:creator>
  <cp:keywords/>
  <dc:description/>
  <cp:lastModifiedBy>Korhonen Anjuli (OPH)</cp:lastModifiedBy>
  <cp:revision>1</cp:revision>
  <dcterms:created xsi:type="dcterms:W3CDTF">2023-05-15T08:41:00Z</dcterms:created>
  <dcterms:modified xsi:type="dcterms:W3CDTF">2023-05-15T08:43:00Z</dcterms:modified>
</cp:coreProperties>
</file>